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line="480" w:lineRule="auto"/>
      </w:pPr>
      <w:r>
        <w:rPr>
          <w:rtl w:val="0"/>
          <w:lang w:val="en-US"/>
        </w:rPr>
        <w:tab/>
        <w:t xml:space="preserve">Few of the Trojans escape; they leave behind the burning city and flee into the mountains. Among them is Aeneas, a Trojan prince; he rescues his father and wife and small son from the flames, and he leads [them] to the mountains. Soon the others come together to the mountains. All dispair, but Aeneas says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Troy is burnt, but we Trojans survive. Come with me. We ought to found a new Troy in another land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 xml:space="preserve">. 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ab/>
        <w:t xml:space="preserve">They happily hear Aeneas. They leave behind the mountains and descend to the shore; they board the ships and son they sail from the city Troy to unknown lands. For a long time they wander on the waves and under many sufferings. At last they come into Italy and found a city.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